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EC7" w:rsidRDefault="005F1EC7" w:rsidP="005F1EC7">
      <w:pPr>
        <w:rPr>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F1EC7" w:rsidTr="00937BBC">
        <w:trPr>
          <w:jc w:val="center"/>
        </w:trPr>
        <w:tc>
          <w:tcPr>
            <w:tcW w:w="743" w:type="dxa"/>
          </w:tcPr>
          <w:p w:rsidR="005F1EC7" w:rsidRDefault="005F1EC7" w:rsidP="00937BBC">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5F1EC7" w:rsidRDefault="005F1EC7" w:rsidP="00937BBC">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לורן אקוקה</w:t>
                </w:r>
              </w:sdtContent>
            </w:sdt>
          </w:p>
          <w:p w:rsidR="005F1EC7" w:rsidRDefault="005F1EC7" w:rsidP="00937BBC">
            <w:pPr>
              <w:rPr>
                <w:rFonts w:ascii="Arial" w:hAnsi="Arial" w:cs="FrankRuehl"/>
                <w:sz w:val="28"/>
                <w:szCs w:val="28"/>
                <w:highlight w:val="yellow"/>
              </w:rPr>
            </w:pPr>
          </w:p>
        </w:tc>
      </w:tr>
      <w:tr w:rsidR="005F1EC7" w:rsidTr="00937BBC">
        <w:trPr>
          <w:jc w:val="center"/>
        </w:trPr>
        <w:tc>
          <w:tcPr>
            <w:tcW w:w="3249" w:type="dxa"/>
            <w:gridSpan w:val="2"/>
          </w:tcPr>
          <w:p w:rsidR="005F1EC7" w:rsidRDefault="005F1EC7" w:rsidP="00937BBC">
            <w:pPr>
              <w:bidi w:val="0"/>
              <w:jc w:val="right"/>
              <w:rPr>
                <w:rFonts w:ascii="Arial" w:hAnsi="Arial"/>
                <w:b/>
                <w:bCs/>
                <w:noProof w:val="0"/>
                <w:sz w:val="26"/>
                <w:szCs w:val="26"/>
              </w:rPr>
            </w:pPr>
          </w:p>
          <w:sdt>
            <w:sdtPr>
              <w:alias w:val="1180"/>
              <w:tag w:val="1180"/>
              <w:id w:val="1559975633"/>
              <w:text w:multiLine="1"/>
            </w:sdtPr>
            <w:sdtEndPr/>
            <w:sdtContent>
              <w:p w:rsidR="005F1EC7" w:rsidRDefault="005F1EC7" w:rsidP="00937BBC">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5F1EC7" w:rsidRDefault="005F1EC7" w:rsidP="00937BBC">
            <w:pPr>
              <w:rPr>
                <w:rFonts w:ascii="Arial" w:hAnsi="Arial"/>
                <w:b/>
                <w:bCs/>
                <w:noProof w:val="0"/>
                <w:sz w:val="26"/>
                <w:szCs w:val="26"/>
              </w:rPr>
            </w:pPr>
          </w:p>
          <w:p w:rsidR="005F1EC7" w:rsidRDefault="00726667" w:rsidP="005F1EC7">
            <w:pPr>
              <w:rPr>
                <w:b/>
                <w:bCs/>
                <w:noProof w:val="0"/>
                <w:sz w:val="26"/>
                <w:szCs w:val="26"/>
              </w:rPr>
            </w:pPr>
            <w:sdt>
              <w:sdtPr>
                <w:rPr>
                  <w:rtl/>
                </w:rPr>
                <w:alias w:val="1462"/>
                <w:tag w:val="1462"/>
                <w:id w:val="-568649798"/>
                <w:text w:multiLine="1"/>
              </w:sdtPr>
              <w:sdtEndPr/>
              <w:sdtContent>
                <w:r w:rsidR="005F1EC7">
                  <w:rPr>
                    <w:rFonts w:ascii="Arial" w:hAnsi="Arial"/>
                    <w:b/>
                    <w:bCs/>
                    <w:noProof w:val="0"/>
                    <w:sz w:val="26"/>
                    <w:szCs w:val="26"/>
                    <w:rtl/>
                  </w:rPr>
                  <w:t>1</w:t>
                </w:r>
              </w:sdtContent>
            </w:sdt>
            <w:r w:rsidR="005F1EC7">
              <w:rPr>
                <w:b/>
                <w:bCs/>
                <w:noProof w:val="0"/>
                <w:sz w:val="26"/>
                <w:szCs w:val="26"/>
                <w:rtl/>
              </w:rPr>
              <w:t xml:space="preserve">. </w:t>
            </w:r>
            <w:r w:rsidR="005F1EC7">
              <w:rPr>
                <w:rFonts w:ascii="Arial" w:hAnsi="Arial" w:hint="cs"/>
                <w:b/>
                <w:bCs/>
                <w:noProof w:val="0"/>
                <w:sz w:val="26"/>
                <w:szCs w:val="26"/>
                <w:rtl/>
              </w:rPr>
              <w:t>א.</w:t>
            </w:r>
          </w:p>
        </w:tc>
      </w:tr>
      <w:tr w:rsidR="005F1EC7" w:rsidTr="00937BBC">
        <w:trPr>
          <w:jc w:val="center"/>
        </w:trPr>
        <w:tc>
          <w:tcPr>
            <w:tcW w:w="8820" w:type="dxa"/>
            <w:gridSpan w:val="3"/>
          </w:tcPr>
          <w:p w:rsidR="005F1EC7" w:rsidRDefault="005F1EC7" w:rsidP="00937BBC">
            <w:pPr>
              <w:rPr>
                <w:rFonts w:ascii="Arial" w:hAnsi="Arial"/>
                <w:b/>
                <w:bCs/>
                <w:noProof w:val="0"/>
                <w:sz w:val="26"/>
                <w:szCs w:val="26"/>
                <w:rtl/>
              </w:rPr>
            </w:pPr>
          </w:p>
          <w:p w:rsidR="005F1EC7" w:rsidRDefault="005F1EC7" w:rsidP="00937BBC">
            <w:pPr>
              <w:jc w:val="center"/>
              <w:rPr>
                <w:rFonts w:ascii="Arial" w:hAnsi="Arial"/>
                <w:b/>
                <w:bCs/>
                <w:noProof w:val="0"/>
                <w:sz w:val="26"/>
                <w:szCs w:val="26"/>
                <w:rtl/>
              </w:rPr>
            </w:pPr>
            <w:r>
              <w:rPr>
                <w:rFonts w:ascii="Arial" w:hAnsi="Arial"/>
                <w:b/>
                <w:bCs/>
                <w:noProof w:val="0"/>
                <w:sz w:val="26"/>
                <w:szCs w:val="26"/>
                <w:rtl/>
              </w:rPr>
              <w:t>נגד</w:t>
            </w:r>
          </w:p>
          <w:p w:rsidR="005F1EC7" w:rsidRDefault="005F1EC7" w:rsidP="00937BBC">
            <w:pPr>
              <w:rPr>
                <w:rFonts w:ascii="Arial" w:hAnsi="Arial"/>
                <w:b/>
                <w:bCs/>
                <w:noProof w:val="0"/>
                <w:sz w:val="26"/>
                <w:szCs w:val="26"/>
              </w:rPr>
            </w:pPr>
          </w:p>
        </w:tc>
      </w:tr>
      <w:tr w:rsidR="005F1EC7" w:rsidTr="00937BBC">
        <w:trPr>
          <w:jc w:val="center"/>
        </w:trPr>
        <w:tc>
          <w:tcPr>
            <w:tcW w:w="3249" w:type="dxa"/>
            <w:gridSpan w:val="2"/>
          </w:tcPr>
          <w:p w:rsidR="005F1EC7" w:rsidRDefault="005F1EC7" w:rsidP="00937BBC">
            <w:pPr>
              <w:rPr>
                <w:rFonts w:ascii="Arial" w:hAnsi="Arial"/>
                <w:b/>
                <w:bCs/>
                <w:noProof w:val="0"/>
                <w:sz w:val="26"/>
                <w:szCs w:val="26"/>
                <w:rtl/>
              </w:rPr>
            </w:pPr>
          </w:p>
          <w:p w:rsidR="005F1EC7" w:rsidRDefault="00726667" w:rsidP="00937BBC">
            <w:pPr>
              <w:rPr>
                <w:rFonts w:ascii="Arial" w:hAnsi="Arial"/>
                <w:b/>
                <w:bCs/>
                <w:noProof w:val="0"/>
                <w:sz w:val="26"/>
                <w:szCs w:val="26"/>
              </w:rPr>
            </w:pPr>
            <w:sdt>
              <w:sdtPr>
                <w:rPr>
                  <w:rtl/>
                </w:rPr>
                <w:alias w:val="1184"/>
                <w:tag w:val="1184"/>
                <w:id w:val="386307046"/>
                <w:text w:multiLine="1"/>
              </w:sdtPr>
              <w:sdtEndPr/>
              <w:sdtContent>
                <w:r w:rsidR="005F1EC7">
                  <w:rPr>
                    <w:rFonts w:ascii="Arial" w:hAnsi="Arial"/>
                    <w:b/>
                    <w:bCs/>
                    <w:noProof w:val="0"/>
                    <w:sz w:val="26"/>
                    <w:szCs w:val="26"/>
                    <w:rtl/>
                  </w:rPr>
                  <w:t>נתבעים</w:t>
                </w:r>
              </w:sdtContent>
            </w:sdt>
          </w:p>
        </w:tc>
        <w:tc>
          <w:tcPr>
            <w:tcW w:w="5571" w:type="dxa"/>
          </w:tcPr>
          <w:p w:rsidR="005F1EC7" w:rsidRDefault="005F1EC7" w:rsidP="00937BBC">
            <w:pPr>
              <w:rPr>
                <w:rFonts w:ascii="Arial" w:hAnsi="Arial"/>
                <w:b/>
                <w:bCs/>
                <w:noProof w:val="0"/>
                <w:sz w:val="26"/>
                <w:szCs w:val="26"/>
                <w:rtl/>
              </w:rPr>
            </w:pPr>
          </w:p>
          <w:p w:rsidR="005F1EC7" w:rsidRDefault="00726667" w:rsidP="005F1EC7">
            <w:pPr>
              <w:rPr>
                <w:b/>
                <w:bCs/>
                <w:noProof w:val="0"/>
                <w:sz w:val="26"/>
                <w:szCs w:val="26"/>
                <w:rtl/>
              </w:rPr>
            </w:pPr>
            <w:sdt>
              <w:sdtPr>
                <w:rPr>
                  <w:rtl/>
                </w:rPr>
                <w:alias w:val="1571"/>
                <w:tag w:val="1571"/>
                <w:id w:val="1025678926"/>
                <w:text w:multiLine="1"/>
              </w:sdtPr>
              <w:sdtEndPr/>
              <w:sdtContent>
                <w:r w:rsidR="005F1EC7">
                  <w:rPr>
                    <w:rFonts w:ascii="Arial" w:hAnsi="Arial"/>
                    <w:b/>
                    <w:bCs/>
                    <w:noProof w:val="0"/>
                    <w:sz w:val="26"/>
                    <w:szCs w:val="26"/>
                    <w:rtl/>
                  </w:rPr>
                  <w:t>1</w:t>
                </w:r>
              </w:sdtContent>
            </w:sdt>
            <w:r w:rsidR="005F1EC7">
              <w:rPr>
                <w:rFonts w:ascii="Arial" w:hAnsi="Arial"/>
                <w:b/>
                <w:bCs/>
                <w:noProof w:val="0"/>
                <w:sz w:val="26"/>
                <w:szCs w:val="26"/>
                <w:rtl/>
              </w:rPr>
              <w:t xml:space="preserve">. </w:t>
            </w:r>
            <w:sdt>
              <w:sdtPr>
                <w:rPr>
                  <w:b/>
                  <w:bCs/>
                  <w:rtl/>
                </w:rPr>
                <w:alias w:val="1486"/>
                <w:tag w:val="1486"/>
                <w:id w:val="2063827857"/>
                <w:text w:multiLine="1"/>
              </w:sdtPr>
              <w:sdtEndPr/>
              <w:sdtContent>
                <w:r w:rsidR="005F1EC7" w:rsidRPr="005F1EC7">
                  <w:rPr>
                    <w:rFonts w:hint="cs"/>
                    <w:b/>
                    <w:bCs/>
                    <w:rtl/>
                  </w:rPr>
                  <w:t xml:space="preserve">א. ואח' </w:t>
                </w:r>
              </w:sdtContent>
            </w:sdt>
          </w:p>
          <w:p w:rsidR="005F1EC7" w:rsidRDefault="00726667" w:rsidP="005F1EC7">
            <w:pPr>
              <w:rPr>
                <w:b/>
                <w:bCs/>
                <w:noProof w:val="0"/>
                <w:sz w:val="26"/>
                <w:szCs w:val="26"/>
                <w:rtl/>
              </w:rPr>
            </w:pPr>
            <w:sdt>
              <w:sdtPr>
                <w:rPr>
                  <w:rtl/>
                </w:rPr>
                <w:alias w:val="1571"/>
                <w:tag w:val="1571"/>
                <w:id w:val="1816911721"/>
                <w:showingPlcHdr/>
                <w:text w:multiLine="1"/>
              </w:sdtPr>
              <w:sdtEndPr/>
              <w:sdtContent>
                <w:r w:rsidR="005F1EC7">
                  <w:rPr>
                    <w:rtl/>
                  </w:rPr>
                  <w:t xml:space="preserve">     </w:t>
                </w:r>
              </w:sdtContent>
            </w:sdt>
          </w:p>
        </w:tc>
      </w:tr>
    </w:tbl>
    <w:p w:rsidR="005F1EC7" w:rsidRDefault="005F1EC7" w:rsidP="005F1EC7"/>
    <w:p w:rsidR="005F1EC7" w:rsidRDefault="005F1EC7" w:rsidP="005F1EC7"/>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F1EC7" w:rsidTr="00937BBC">
        <w:trPr>
          <w:jc w:val="center"/>
        </w:trPr>
        <w:tc>
          <w:tcPr>
            <w:tcW w:w="8820" w:type="dxa"/>
          </w:tcPr>
          <w:p w:rsidR="005F1EC7" w:rsidRDefault="005F1EC7" w:rsidP="00937BBC">
            <w:pPr>
              <w:bidi w:val="0"/>
              <w:jc w:val="center"/>
              <w:rPr>
                <w:rFonts w:ascii="Arial" w:hAnsi="Arial"/>
                <w:b/>
                <w:bCs/>
                <w:noProof w:val="0"/>
                <w:sz w:val="26"/>
                <w:szCs w:val="26"/>
              </w:rPr>
            </w:pPr>
          </w:p>
          <w:p w:rsidR="005F1EC7" w:rsidRDefault="005F1EC7" w:rsidP="00937BBC">
            <w:pPr>
              <w:bidi w:val="0"/>
              <w:jc w:val="center"/>
              <w:rPr>
                <w:rFonts w:ascii="Arial" w:hAnsi="Arial"/>
                <w:b/>
                <w:bCs/>
                <w:noProof w:val="0"/>
                <w:sz w:val="26"/>
                <w:szCs w:val="26"/>
                <w:u w:val="single"/>
              </w:rPr>
            </w:pPr>
          </w:p>
          <w:p w:rsidR="005F1EC7" w:rsidRDefault="005F1EC7" w:rsidP="00937BBC">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5F1EC7" w:rsidRDefault="005F1EC7" w:rsidP="005F1EC7">
      <w:pPr>
        <w:spacing w:line="360" w:lineRule="auto"/>
        <w:jc w:val="both"/>
        <w:rPr>
          <w:rFonts w:ascii="Arial" w:hAnsi="Arial"/>
          <w:noProof w:val="0"/>
          <w:rtl/>
        </w:rPr>
      </w:pPr>
    </w:p>
    <w:p w:rsidR="005F1EC7" w:rsidRDefault="005F1EC7" w:rsidP="005F1EC7">
      <w:pPr>
        <w:spacing w:after="240" w:line="360" w:lineRule="auto"/>
        <w:ind w:firstLine="720"/>
        <w:jc w:val="both"/>
        <w:rPr>
          <w:rFonts w:ascii="David" w:hAnsi="David"/>
          <w:noProof w:val="0"/>
          <w:color w:val="000000"/>
        </w:rPr>
      </w:pPr>
      <w:r>
        <w:rPr>
          <w:rFonts w:ascii="David" w:hAnsi="David"/>
          <w:b/>
          <w:bCs/>
          <w:color w:val="000000"/>
          <w:rtl/>
        </w:rPr>
        <w:br/>
      </w:r>
      <w:r>
        <w:rPr>
          <w:rFonts w:ascii="David" w:hAnsi="David"/>
          <w:color w:val="000000"/>
          <w:rtl/>
        </w:rPr>
        <w:t xml:space="preserve">לפני בקשת העד, מר </w:t>
      </w:r>
      <w:r>
        <w:rPr>
          <w:rFonts w:ascii="David" w:hAnsi="David" w:hint="cs"/>
          <w:color w:val="000000"/>
          <w:rtl/>
        </w:rPr>
        <w:t>....</w:t>
      </w:r>
      <w:r>
        <w:rPr>
          <w:rFonts w:ascii="David" w:hAnsi="David"/>
          <w:color w:val="000000"/>
          <w:rtl/>
        </w:rPr>
        <w:t xml:space="preserve">, לפסיקת שכר והוצאות עדותו, עת זומן להעיד על ידי הנתבע בזיקה לדוח חקירה שהוגש מטעם התובעת. </w:t>
      </w:r>
    </w:p>
    <w:p w:rsidR="005F1EC7" w:rsidRDefault="005F1EC7" w:rsidP="005F1EC7">
      <w:pPr>
        <w:pStyle w:val="a9"/>
        <w:numPr>
          <w:ilvl w:val="0"/>
          <w:numId w:val="1"/>
        </w:numPr>
        <w:spacing w:after="240" w:line="360" w:lineRule="auto"/>
        <w:ind w:left="368"/>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התובעת הגישה דו"ח חקירה פרטית שנעשתה לבקשתה. הדו"ח הוכן על ידי מר </w:t>
      </w:r>
      <w:r>
        <w:rPr>
          <w:rFonts w:ascii="David" w:eastAsia="Times New Roman" w:hAnsi="David" w:cs="David" w:hint="cs"/>
          <w:color w:val="000000"/>
          <w:sz w:val="24"/>
          <w:szCs w:val="24"/>
          <w:rtl/>
        </w:rPr>
        <w:t>....</w:t>
      </w:r>
      <w:r>
        <w:rPr>
          <w:rFonts w:ascii="David" w:eastAsia="Times New Roman" w:hAnsi="David" w:cs="David"/>
          <w:color w:val="000000"/>
          <w:sz w:val="24"/>
          <w:szCs w:val="24"/>
          <w:rtl/>
        </w:rPr>
        <w:t xml:space="preserve"> (להלן: "עורך דו"ח החקירה") ונעשה על פי חקירת 2 חוקרות פרטיות שגם הן זומנו והתייצבו לדיון שהתקיים לפני ביום 26.6.2024. </w:t>
      </w:r>
    </w:p>
    <w:p w:rsidR="005F1EC7" w:rsidRDefault="005F1EC7" w:rsidP="005F1EC7">
      <w:pPr>
        <w:pStyle w:val="a9"/>
        <w:spacing w:after="240" w:line="360" w:lineRule="auto"/>
        <w:ind w:left="368"/>
        <w:jc w:val="both"/>
        <w:rPr>
          <w:rFonts w:ascii="David" w:eastAsia="Times New Roman" w:hAnsi="David" w:cs="David"/>
          <w:color w:val="000000"/>
          <w:sz w:val="24"/>
          <w:szCs w:val="24"/>
        </w:rPr>
      </w:pPr>
    </w:p>
    <w:p w:rsidR="005F1EC7" w:rsidRDefault="005F1EC7" w:rsidP="005F1EC7">
      <w:pPr>
        <w:pStyle w:val="a9"/>
        <w:numPr>
          <w:ilvl w:val="0"/>
          <w:numId w:val="1"/>
        </w:numPr>
        <w:spacing w:after="240" w:line="360" w:lineRule="auto"/>
        <w:ind w:left="368"/>
        <w:jc w:val="both"/>
        <w:rPr>
          <w:rFonts w:ascii="David" w:eastAsia="Times New Roman" w:hAnsi="David" w:cs="David"/>
          <w:color w:val="000000"/>
          <w:sz w:val="24"/>
          <w:szCs w:val="24"/>
        </w:rPr>
      </w:pPr>
      <w:r>
        <w:rPr>
          <w:rFonts w:ascii="David" w:eastAsia="Times New Roman" w:hAnsi="David" w:cs="David"/>
          <w:color w:val="000000"/>
          <w:sz w:val="24"/>
          <w:szCs w:val="24"/>
          <w:rtl/>
        </w:rPr>
        <w:t>העדים שלושתם זומנו לחקירה על ידי הנתבע באשר לתוכן דו"ח החקירה וממצאיו. לטובתם זימונם נקבע בהחלטתי מיום 5.3.2023 כי העדים יזומנו כפוף להפקדת שכר כל אחד מהם בשיעור של 300 ₪ בקופת בית המשפט. הכספים הופקדו והזימונים הופקו.</w:t>
      </w:r>
    </w:p>
    <w:p w:rsidR="005F1EC7" w:rsidRDefault="005F1EC7" w:rsidP="005F1EC7">
      <w:pPr>
        <w:pStyle w:val="a9"/>
        <w:spacing w:line="360" w:lineRule="auto"/>
        <w:jc w:val="both"/>
        <w:rPr>
          <w:rFonts w:ascii="David" w:eastAsia="Times New Roman" w:hAnsi="David" w:cs="David"/>
          <w:color w:val="000000"/>
          <w:sz w:val="24"/>
          <w:szCs w:val="24"/>
        </w:rPr>
      </w:pPr>
    </w:p>
    <w:p w:rsidR="005F1EC7" w:rsidRDefault="005F1EC7" w:rsidP="005F1EC7">
      <w:pPr>
        <w:pStyle w:val="a9"/>
        <w:numPr>
          <w:ilvl w:val="0"/>
          <w:numId w:val="1"/>
        </w:numPr>
        <w:spacing w:after="240" w:line="360" w:lineRule="auto"/>
        <w:ind w:left="368"/>
        <w:jc w:val="both"/>
        <w:rPr>
          <w:rFonts w:ascii="David" w:eastAsia="Times New Roman" w:hAnsi="David" w:cs="David"/>
          <w:color w:val="000000"/>
          <w:sz w:val="24"/>
          <w:szCs w:val="24"/>
          <w:rtl/>
        </w:rPr>
      </w:pPr>
      <w:r>
        <w:rPr>
          <w:rFonts w:ascii="David" w:eastAsia="Times New Roman" w:hAnsi="David" w:cs="David"/>
          <w:color w:val="000000"/>
          <w:sz w:val="24"/>
          <w:szCs w:val="24"/>
          <w:rtl/>
        </w:rPr>
        <w:lastRenderedPageBreak/>
        <w:t xml:space="preserve">בתום עדות כל אחת מהעדות, החוקרות, לא טענה מי מהן באשר לגובה שכרה לאחר שבית המשפט ציין כי הופקד כסף לטובת האמור בקופת בית המשפט ובית המשפט קבע כי הכסף שהופקד ישוחרר לידן. </w:t>
      </w:r>
    </w:p>
    <w:p w:rsidR="005F1EC7" w:rsidRDefault="005F1EC7" w:rsidP="005F1EC7">
      <w:pPr>
        <w:pStyle w:val="a9"/>
        <w:spacing w:line="360" w:lineRule="auto"/>
        <w:jc w:val="both"/>
        <w:rPr>
          <w:rFonts w:ascii="David" w:eastAsia="Times New Roman" w:hAnsi="David" w:cs="David"/>
          <w:color w:val="000000"/>
          <w:sz w:val="24"/>
          <w:szCs w:val="24"/>
        </w:rPr>
      </w:pPr>
    </w:p>
    <w:p w:rsidR="005F1EC7" w:rsidRDefault="005F1EC7" w:rsidP="005F1EC7">
      <w:pPr>
        <w:pStyle w:val="a9"/>
        <w:numPr>
          <w:ilvl w:val="0"/>
          <w:numId w:val="1"/>
        </w:numPr>
        <w:spacing w:after="240" w:line="360" w:lineRule="auto"/>
        <w:ind w:left="368"/>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בתום עדותו של עורך דו"ח החקירה ועת בית המשפט ביקש כי יטען לשכרו ציין זה כי הפקדת סך של 300 ₪ בקופת בית המשפט אינה מספקת ואינה תואמת להפסד שנגרם לו באשר נדרש להתייצב לדיון, בשעה בה נדרש להתייצב, כך גם באשר התייצב לדיונים קודמים שאז שמיעת עדותו נדחתה. </w:t>
      </w:r>
    </w:p>
    <w:p w:rsidR="005F1EC7" w:rsidRDefault="005F1EC7" w:rsidP="005F1EC7">
      <w:pPr>
        <w:pStyle w:val="a9"/>
        <w:spacing w:line="360" w:lineRule="auto"/>
        <w:jc w:val="both"/>
        <w:rPr>
          <w:rFonts w:ascii="David" w:eastAsia="Times New Roman" w:hAnsi="David" w:cs="David"/>
          <w:color w:val="000000"/>
          <w:sz w:val="24"/>
          <w:szCs w:val="24"/>
        </w:rPr>
      </w:pPr>
    </w:p>
    <w:p w:rsidR="005F1EC7" w:rsidRDefault="005F1EC7" w:rsidP="005F1EC7">
      <w:pPr>
        <w:pStyle w:val="a9"/>
        <w:numPr>
          <w:ilvl w:val="0"/>
          <w:numId w:val="1"/>
        </w:numPr>
        <w:spacing w:after="240" w:line="360" w:lineRule="auto"/>
        <w:ind w:left="368"/>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עוד ציין העד, עורך דו"ח החקירה, כי הפסד יום עבודה מסתכם בסך של כ – 1,500 ₪ והוא מצפה כי בית המשפט יעתר לבקשתו לפסיקת שכרו בהתאם. </w:t>
      </w:r>
    </w:p>
    <w:p w:rsidR="005F1EC7" w:rsidRDefault="005F1EC7" w:rsidP="005F1EC7">
      <w:pPr>
        <w:pStyle w:val="a9"/>
        <w:rPr>
          <w:rFonts w:ascii="David" w:eastAsia="Times New Roman" w:hAnsi="David" w:cs="David"/>
          <w:color w:val="000000"/>
          <w:sz w:val="24"/>
          <w:szCs w:val="24"/>
        </w:rPr>
      </w:pPr>
    </w:p>
    <w:p w:rsidR="005F1EC7" w:rsidRDefault="005F1EC7" w:rsidP="005F1EC7">
      <w:pPr>
        <w:pStyle w:val="a9"/>
        <w:spacing w:after="240" w:line="360" w:lineRule="auto"/>
        <w:ind w:left="368"/>
        <w:jc w:val="both"/>
        <w:rPr>
          <w:rFonts w:ascii="David" w:eastAsia="Times New Roman" w:hAnsi="David" w:cs="David"/>
          <w:b/>
          <w:bCs/>
          <w:color w:val="000000"/>
          <w:sz w:val="24"/>
          <w:szCs w:val="24"/>
          <w:u w:val="single"/>
          <w:rtl/>
        </w:rPr>
      </w:pPr>
      <w:r>
        <w:rPr>
          <w:rFonts w:ascii="David" w:eastAsia="Times New Roman" w:hAnsi="David" w:cs="David"/>
          <w:b/>
          <w:bCs/>
          <w:color w:val="000000"/>
          <w:sz w:val="24"/>
          <w:szCs w:val="24"/>
          <w:u w:val="single"/>
          <w:rtl/>
        </w:rPr>
        <w:t>דיון והכרעה:</w:t>
      </w:r>
    </w:p>
    <w:p w:rsidR="005F1EC7" w:rsidRDefault="005F1EC7" w:rsidP="005F1EC7">
      <w:pPr>
        <w:pStyle w:val="a9"/>
        <w:rPr>
          <w:rFonts w:ascii="David" w:eastAsia="Times New Roman" w:hAnsi="David" w:cs="David"/>
          <w:color w:val="000000"/>
          <w:sz w:val="24"/>
          <w:szCs w:val="24"/>
        </w:rPr>
      </w:pPr>
    </w:p>
    <w:p w:rsidR="005F1EC7" w:rsidRDefault="005F1EC7" w:rsidP="005F1EC7">
      <w:pPr>
        <w:pStyle w:val="a9"/>
        <w:numPr>
          <w:ilvl w:val="0"/>
          <w:numId w:val="1"/>
        </w:numPr>
        <w:spacing w:after="240" w:line="360" w:lineRule="auto"/>
        <w:ind w:left="368"/>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תקנה 86 לתקנות סדר הדין האזרחי, התשע"ט – 2018 (להלן: "התקנות") קובעת כי </w:t>
      </w:r>
      <w:r>
        <w:rPr>
          <w:rFonts w:ascii="Miriam" w:eastAsia="Times New Roman" w:hAnsi="Miriam" w:cs="Miriam"/>
          <w:color w:val="000000"/>
          <w:sz w:val="24"/>
          <w:szCs w:val="24"/>
          <w:rtl/>
        </w:rPr>
        <w:t>"נענה אדם להזמנה להעיד בבית משפט, רשאי בית המשפט להורות לבעל הדין שביקש להזמינו לשאת בהוצאותיו כפי שיפסוק"</w:t>
      </w:r>
      <w:r>
        <w:rPr>
          <w:rFonts w:ascii="David" w:eastAsia="Times New Roman" w:hAnsi="David" w:cs="David"/>
          <w:color w:val="000000"/>
          <w:sz w:val="24"/>
          <w:szCs w:val="24"/>
          <w:rtl/>
        </w:rPr>
        <w:t>.</w:t>
      </w:r>
    </w:p>
    <w:p w:rsidR="005F1EC7" w:rsidRDefault="005F1EC7" w:rsidP="005F1EC7">
      <w:pPr>
        <w:pStyle w:val="a9"/>
        <w:spacing w:after="240" w:line="360" w:lineRule="auto"/>
        <w:ind w:left="368"/>
        <w:jc w:val="both"/>
        <w:rPr>
          <w:rFonts w:ascii="David" w:eastAsia="Times New Roman" w:hAnsi="David" w:cs="David"/>
          <w:color w:val="000000"/>
          <w:sz w:val="24"/>
          <w:szCs w:val="24"/>
        </w:rPr>
      </w:pPr>
    </w:p>
    <w:p w:rsidR="005F1EC7" w:rsidRDefault="005F1EC7" w:rsidP="005F1EC7">
      <w:pPr>
        <w:pStyle w:val="a9"/>
        <w:numPr>
          <w:ilvl w:val="0"/>
          <w:numId w:val="1"/>
        </w:numPr>
        <w:spacing w:after="240" w:line="360" w:lineRule="auto"/>
        <w:ind w:left="368"/>
        <w:jc w:val="both"/>
        <w:rPr>
          <w:rFonts w:ascii="Miriam" w:eastAsia="Times New Roman" w:hAnsi="Miriam" w:cs="Miriam"/>
          <w:color w:val="000000"/>
          <w:sz w:val="24"/>
          <w:szCs w:val="24"/>
        </w:rPr>
      </w:pPr>
      <w:r>
        <w:rPr>
          <w:rFonts w:ascii="David" w:eastAsia="Times New Roman" w:hAnsi="David" w:cs="David"/>
          <w:color w:val="000000"/>
          <w:sz w:val="24"/>
          <w:szCs w:val="24"/>
          <w:rtl/>
        </w:rPr>
        <w:t xml:space="preserve">בהקשר להוראת התקנה כמצטט לעיל, יש להזכיר את התקנה כפי שהופיעה בתקנות סדר הדין האזרחי, התשמ"ד – 1984 (להלן: "התקנות הישנות") שם, בתקנה 187(א) נקבע כי </w:t>
      </w:r>
      <w:r>
        <w:rPr>
          <w:rFonts w:ascii="Miriam" w:eastAsia="Times New Roman" w:hAnsi="Miriam" w:cs="Miriam"/>
          <w:color w:val="000000"/>
          <w:sz w:val="24"/>
          <w:szCs w:val="24"/>
          <w:rtl/>
        </w:rPr>
        <w:t>"</w:t>
      </w:r>
      <w:r>
        <w:rPr>
          <w:rFonts w:ascii="Miriam" w:hAnsi="Miriam" w:cs="Miriam"/>
          <w:color w:val="000000"/>
          <w:sz w:val="24"/>
          <w:szCs w:val="24"/>
          <w:shd w:val="clear" w:color="auto" w:fill="FFFFFF"/>
          <w:rtl/>
        </w:rPr>
        <w:t xml:space="preserve"> נענה אדם להזמנה להעיד בבית משפט, רשאי בית המשפט או </w:t>
      </w:r>
      <w:r>
        <w:rPr>
          <w:rFonts w:ascii="Miriam" w:hAnsi="Miriam" w:cs="Miriam"/>
          <w:color w:val="000000"/>
          <w:sz w:val="24"/>
          <w:szCs w:val="24"/>
          <w:shd w:val="clear" w:color="auto" w:fill="FFFFFF"/>
          <w:rtl/>
        </w:rPr>
        <w:lastRenderedPageBreak/>
        <w:t>הרשם לצוות כי ישולמו לו דמי נסיעתו ממקומו למקום מושב בית המשפט וחזרה, וכן שכר בטלה ודמי לינה שלא יעלו על השיעורים הנקובים בתוספת השניה</w:t>
      </w:r>
      <w:r>
        <w:rPr>
          <w:rFonts w:ascii="Miriam" w:hAnsi="Miriam" w:cs="Miriam"/>
          <w:color w:val="000000"/>
          <w:sz w:val="24"/>
          <w:szCs w:val="24"/>
          <w:shd w:val="clear" w:color="auto" w:fill="FFFFFF"/>
        </w:rPr>
        <w:t>.</w:t>
      </w:r>
      <w:r>
        <w:rPr>
          <w:rFonts w:ascii="Miriam" w:hAnsi="Miriam" w:cs="Miriam"/>
          <w:color w:val="000000"/>
          <w:sz w:val="24"/>
          <w:szCs w:val="24"/>
          <w:shd w:val="clear" w:color="auto" w:fill="FFFFFF"/>
          <w:rtl/>
        </w:rPr>
        <w:t>"</w:t>
      </w:r>
    </w:p>
    <w:p w:rsidR="005F1EC7" w:rsidRDefault="005F1EC7" w:rsidP="005F1EC7">
      <w:pPr>
        <w:pStyle w:val="a9"/>
        <w:rPr>
          <w:rFonts w:ascii="David" w:eastAsia="Times New Roman" w:hAnsi="David" w:cs="David"/>
          <w:color w:val="000000"/>
          <w:sz w:val="24"/>
          <w:szCs w:val="24"/>
        </w:rPr>
      </w:pPr>
    </w:p>
    <w:p w:rsidR="005F1EC7" w:rsidRDefault="005F1EC7" w:rsidP="005F1EC7">
      <w:pPr>
        <w:pStyle w:val="a9"/>
        <w:numPr>
          <w:ilvl w:val="0"/>
          <w:numId w:val="1"/>
        </w:numPr>
        <w:spacing w:after="240" w:line="360" w:lineRule="auto"/>
        <w:ind w:left="368"/>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מהאמור עולה כי עם התקנת התקנות בית המשפט אינו מוגבל עוד לתעריפים כפי שהיו קבועים אז, בתקנות הישנות, בתוספת השניה. </w:t>
      </w:r>
    </w:p>
    <w:p w:rsidR="005F1EC7" w:rsidRDefault="005F1EC7" w:rsidP="005F1EC7">
      <w:pPr>
        <w:pStyle w:val="a9"/>
        <w:rPr>
          <w:rFonts w:ascii="David" w:eastAsia="Times New Roman" w:hAnsi="David" w:cs="David"/>
          <w:color w:val="000000"/>
          <w:sz w:val="24"/>
          <w:szCs w:val="24"/>
        </w:rPr>
      </w:pPr>
    </w:p>
    <w:p w:rsidR="005F1EC7" w:rsidRDefault="005F1EC7" w:rsidP="005F1EC7">
      <w:pPr>
        <w:pStyle w:val="a9"/>
        <w:numPr>
          <w:ilvl w:val="0"/>
          <w:numId w:val="1"/>
        </w:numPr>
        <w:spacing w:after="240" w:line="360" w:lineRule="auto"/>
        <w:ind w:left="368"/>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התקנות נותנות בידי בית המשפט את שיקול הדעת לקבוע את שיעור שכרו של העד בשל התייצבותו לדיון לבקשת בעל דין. ובעניין זה טען העד שזומן לעדות. אמנם טיעוניו התייחסו גם לשתי העדות שקדמו לשמיעת עדותו, הן החוקרות המתועדות בדוח החקירה ואלו שביצעו את החקירה בפועל ואולם הן לא טענו דבר באשר לגובה שכרן. </w:t>
      </w:r>
    </w:p>
    <w:p w:rsidR="005F1EC7" w:rsidRDefault="005F1EC7" w:rsidP="005F1EC7">
      <w:pPr>
        <w:pStyle w:val="a9"/>
        <w:rPr>
          <w:rFonts w:ascii="David" w:eastAsia="Times New Roman" w:hAnsi="David" w:cs="David"/>
          <w:color w:val="000000"/>
          <w:sz w:val="24"/>
          <w:szCs w:val="24"/>
        </w:rPr>
      </w:pPr>
    </w:p>
    <w:p w:rsidR="005F1EC7" w:rsidRDefault="005F1EC7" w:rsidP="005F1EC7">
      <w:pPr>
        <w:pStyle w:val="a9"/>
        <w:numPr>
          <w:ilvl w:val="0"/>
          <w:numId w:val="1"/>
        </w:numPr>
        <w:spacing w:after="240" w:line="360" w:lineRule="auto"/>
        <w:ind w:left="368"/>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שמעתי את טיעוניו של העד באשר להתייצבותו ולא בפעם הבודדה בה נשמה עדותו וכי התייצבותו לדיון מביאה בצידה הפסד שכר משמעותי ובהקשר לכך אין משמעות אם עדותו הייתה קצרה או בת שעות ארוכות. </w:t>
      </w:r>
    </w:p>
    <w:p w:rsidR="005F1EC7" w:rsidRDefault="005F1EC7" w:rsidP="005F1EC7">
      <w:pPr>
        <w:pStyle w:val="a9"/>
        <w:rPr>
          <w:rFonts w:ascii="David" w:eastAsia="Times New Roman" w:hAnsi="David" w:cs="David"/>
          <w:color w:val="000000"/>
          <w:sz w:val="24"/>
          <w:szCs w:val="24"/>
        </w:rPr>
      </w:pPr>
    </w:p>
    <w:p w:rsidR="005F1EC7" w:rsidRDefault="005F1EC7" w:rsidP="005F1EC7">
      <w:pPr>
        <w:pStyle w:val="a9"/>
        <w:numPr>
          <w:ilvl w:val="0"/>
          <w:numId w:val="1"/>
        </w:numPr>
        <w:spacing w:after="240" w:line="360" w:lineRule="auto"/>
        <w:ind w:left="368"/>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ביום הדיון העד התייצב למסירת עדותו כפי הזימון לשעה 11:30 הגם שעדותו נשמעה רק בתום שמיעת יתר העדים שזומנו לאותו מועד. </w:t>
      </w:r>
    </w:p>
    <w:p w:rsidR="005F1EC7" w:rsidRDefault="005F1EC7" w:rsidP="005F1EC7">
      <w:pPr>
        <w:pStyle w:val="a9"/>
        <w:rPr>
          <w:rFonts w:ascii="David" w:eastAsia="Times New Roman" w:hAnsi="David" w:cs="David"/>
          <w:color w:val="000000"/>
          <w:sz w:val="24"/>
          <w:szCs w:val="24"/>
        </w:rPr>
      </w:pPr>
    </w:p>
    <w:p w:rsidR="005F1EC7" w:rsidRDefault="005F1EC7" w:rsidP="005F1EC7">
      <w:pPr>
        <w:pStyle w:val="a9"/>
        <w:numPr>
          <w:ilvl w:val="0"/>
          <w:numId w:val="1"/>
        </w:numPr>
        <w:spacing w:after="240" w:line="360" w:lineRule="auto"/>
        <w:ind w:left="368"/>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מדובר בעד שאינו בעל עניין בהליך. בין יתר השיקולים שעל בית המשפט לשקול הוא גם את העלות האמיתית באשר לזימון עד שעה מבחינת מדיניות משפטית ראויה אני סבורה כי זכאי עד לשכר בעבור התייצבותו ומילוי חובתו ללא שהוא בעל דין </w:t>
      </w:r>
      <w:r>
        <w:rPr>
          <w:rFonts w:ascii="David" w:eastAsia="Times New Roman" w:hAnsi="David" w:cs="David"/>
          <w:color w:val="000000"/>
          <w:sz w:val="24"/>
          <w:szCs w:val="24"/>
          <w:rtl/>
        </w:rPr>
        <w:lastRenderedPageBreak/>
        <w:t xml:space="preserve">או בעל עניין כשאני עוד סבורה כי קביעת שכר ראוי יביא לכך שרק עדים שעדותם אכן נחוצה לבירור יוזמנו ויהא שכרם אשר יהא. </w:t>
      </w:r>
    </w:p>
    <w:p w:rsidR="005F1EC7" w:rsidRDefault="005F1EC7" w:rsidP="005F1EC7">
      <w:pPr>
        <w:pStyle w:val="a9"/>
        <w:rPr>
          <w:rFonts w:ascii="David" w:eastAsia="Times New Roman" w:hAnsi="David" w:cs="David"/>
          <w:color w:val="000000"/>
          <w:sz w:val="24"/>
          <w:szCs w:val="24"/>
        </w:rPr>
      </w:pPr>
    </w:p>
    <w:p w:rsidR="005F1EC7" w:rsidRDefault="005F1EC7" w:rsidP="005F1EC7">
      <w:pPr>
        <w:pStyle w:val="a9"/>
        <w:numPr>
          <w:ilvl w:val="0"/>
          <w:numId w:val="1"/>
        </w:numPr>
        <w:spacing w:after="240" w:line="360" w:lineRule="auto"/>
        <w:ind w:left="368"/>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טרם שמעתי את העד, סברתי כי הפקדת סך של 300 ₪ בקופת בית המשפט ראויה היא ואולם שמעתי מפי העד כי לא כך הם הדברים שעה שהכנסתו ליום עבודה שהתבזבז לטענתו הוא כ – 1,500 ₪. </w:t>
      </w:r>
    </w:p>
    <w:p w:rsidR="005F1EC7" w:rsidRDefault="005F1EC7" w:rsidP="005F1EC7">
      <w:pPr>
        <w:pStyle w:val="a9"/>
        <w:rPr>
          <w:rFonts w:ascii="David" w:eastAsia="Times New Roman" w:hAnsi="David" w:cs="David"/>
          <w:color w:val="000000"/>
          <w:sz w:val="24"/>
          <w:szCs w:val="24"/>
        </w:rPr>
      </w:pPr>
    </w:p>
    <w:p w:rsidR="005F1EC7" w:rsidRDefault="005F1EC7" w:rsidP="005F1EC7">
      <w:pPr>
        <w:pStyle w:val="a9"/>
        <w:numPr>
          <w:ilvl w:val="0"/>
          <w:numId w:val="1"/>
        </w:numPr>
        <w:spacing w:after="240" w:line="360" w:lineRule="auto"/>
        <w:ind w:left="368"/>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מעדותו של העד, כך גם מעדויות שתי העדות האחרות, החוקרות, למדתי כי עבודתן דינמית לאורך שעות היום ועל כן לא מן הנמנע כי אפשר ששבו לעיסוקם בתום שמיעת העדויות. </w:t>
      </w:r>
    </w:p>
    <w:p w:rsidR="005F1EC7" w:rsidRDefault="005F1EC7" w:rsidP="005F1EC7">
      <w:pPr>
        <w:pStyle w:val="a9"/>
        <w:rPr>
          <w:rFonts w:ascii="David" w:eastAsia="Times New Roman" w:hAnsi="David" w:cs="David"/>
          <w:color w:val="000000"/>
          <w:sz w:val="24"/>
          <w:szCs w:val="24"/>
        </w:rPr>
      </w:pPr>
    </w:p>
    <w:p w:rsidR="005F1EC7" w:rsidRDefault="005F1EC7" w:rsidP="005F1EC7">
      <w:pPr>
        <w:pStyle w:val="a9"/>
        <w:numPr>
          <w:ilvl w:val="0"/>
          <w:numId w:val="1"/>
        </w:numPr>
        <w:spacing w:after="240" w:line="360" w:lineRule="auto"/>
        <w:ind w:left="368"/>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נוכח האמור לאחר ששמעתי את העד, ובהתאם לשיקולים שפורטו לעיל, אני מוצאת לפסוק את שכרו בסך של 1,000 ₪. שכרו של העד ישולם על ידי הנתבע ועל כן הסכום שהופקד בקופת בית המשפט ישוחרר לידי העד והיתרה בסך של 700 ₪ תשולם על ידי הנתבע בתוך 30 ימים ישירות לידי העד. </w:t>
      </w:r>
    </w:p>
    <w:p w:rsidR="005F1EC7" w:rsidRDefault="005F1EC7" w:rsidP="005F1EC7">
      <w:pPr>
        <w:pStyle w:val="a9"/>
        <w:rPr>
          <w:rFonts w:ascii="David" w:eastAsia="Times New Roman" w:hAnsi="David" w:cs="David"/>
          <w:color w:val="000000"/>
          <w:sz w:val="24"/>
          <w:szCs w:val="24"/>
        </w:rPr>
      </w:pPr>
    </w:p>
    <w:p w:rsidR="005F1EC7" w:rsidRDefault="005F1EC7" w:rsidP="005F1EC7">
      <w:pPr>
        <w:pStyle w:val="a9"/>
        <w:numPr>
          <w:ilvl w:val="0"/>
          <w:numId w:val="1"/>
        </w:numPr>
        <w:spacing w:after="240" w:line="360" w:lineRule="auto"/>
        <w:ind w:left="368"/>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למען הסדר הטוב והואיל והחלטתי בתום הדיון, שהוקלט, טרם הוטמעה בתיק, אני מורה על פסיקת שכר העדה </w:t>
      </w:r>
      <w:r>
        <w:rPr>
          <w:rFonts w:ascii="David" w:eastAsia="Times New Roman" w:hAnsi="David" w:cs="David" w:hint="cs"/>
          <w:color w:val="000000"/>
          <w:sz w:val="24"/>
          <w:szCs w:val="24"/>
          <w:rtl/>
        </w:rPr>
        <w:t>.....</w:t>
      </w:r>
      <w:r>
        <w:rPr>
          <w:rFonts w:ascii="David" w:eastAsia="Times New Roman" w:hAnsi="David" w:cs="David"/>
          <w:color w:val="000000"/>
          <w:sz w:val="24"/>
          <w:szCs w:val="24"/>
          <w:rtl/>
        </w:rPr>
        <w:t xml:space="preserve"> בסך של 300 ₪ כפי שהופקדו בקופת בית המשפט והמזכירות תשחרר עבורה את הכספים . כמו כן מורה על פסיקת שכר העדה </w:t>
      </w:r>
      <w:r>
        <w:rPr>
          <w:rFonts w:ascii="David" w:eastAsia="Times New Roman" w:hAnsi="David" w:cs="David" w:hint="cs"/>
          <w:color w:val="000000"/>
          <w:sz w:val="24"/>
          <w:szCs w:val="24"/>
          <w:rtl/>
        </w:rPr>
        <w:t>.....</w:t>
      </w:r>
      <w:r>
        <w:rPr>
          <w:rFonts w:ascii="David" w:eastAsia="Times New Roman" w:hAnsi="David" w:cs="David"/>
          <w:color w:val="000000"/>
          <w:sz w:val="24"/>
          <w:szCs w:val="24"/>
          <w:rtl/>
        </w:rPr>
        <w:t xml:space="preserve"> בסך של 300 ₪ כפי שהופקדו בקופת בית המשפט והמזכירות תשחרר עבורה את הכספים .</w:t>
      </w:r>
    </w:p>
    <w:p w:rsidR="005F1EC7" w:rsidRDefault="005F1EC7" w:rsidP="005F1EC7">
      <w:pPr>
        <w:pStyle w:val="a9"/>
        <w:rPr>
          <w:rFonts w:ascii="David" w:eastAsia="Times New Roman" w:hAnsi="David" w:cs="David"/>
          <w:color w:val="000000"/>
          <w:sz w:val="24"/>
          <w:szCs w:val="24"/>
        </w:rPr>
      </w:pPr>
    </w:p>
    <w:p w:rsidR="005F1EC7" w:rsidRDefault="005F1EC7" w:rsidP="005F1EC7">
      <w:pPr>
        <w:pStyle w:val="a9"/>
        <w:numPr>
          <w:ilvl w:val="0"/>
          <w:numId w:val="1"/>
        </w:numPr>
        <w:spacing w:after="240" w:line="360" w:lineRule="auto"/>
        <w:ind w:left="368"/>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ב"כ הנתבע תסדיר את תשלום שכר העדים ובמידת הצורך תגיש העדה פסיקתות מתאימות לחתימתי בתוך 7 ימים מהיום להמצאתם לידי העדים. </w:t>
      </w:r>
    </w:p>
    <w:p w:rsidR="005F1EC7" w:rsidRDefault="005F1EC7" w:rsidP="005F1EC7">
      <w:pPr>
        <w:pStyle w:val="a9"/>
        <w:rPr>
          <w:rFonts w:ascii="David" w:eastAsia="Times New Roman" w:hAnsi="David" w:cs="David"/>
          <w:color w:val="000000"/>
          <w:sz w:val="24"/>
          <w:szCs w:val="24"/>
        </w:rPr>
      </w:pPr>
    </w:p>
    <w:p w:rsidR="005F1EC7" w:rsidRDefault="005F1EC7" w:rsidP="005F1EC7">
      <w:pPr>
        <w:pStyle w:val="a9"/>
        <w:numPr>
          <w:ilvl w:val="0"/>
          <w:numId w:val="1"/>
        </w:numPr>
        <w:spacing w:after="240" w:line="360" w:lineRule="auto"/>
        <w:ind w:left="368"/>
        <w:jc w:val="both"/>
        <w:rPr>
          <w:rFonts w:ascii="David" w:eastAsia="Times New Roman" w:hAnsi="David" w:cs="David"/>
          <w:color w:val="000000"/>
          <w:sz w:val="24"/>
          <w:szCs w:val="24"/>
          <w:rtl/>
        </w:rPr>
      </w:pPr>
      <w:r>
        <w:rPr>
          <w:rFonts w:ascii="David" w:eastAsia="Times New Roman" w:hAnsi="David" w:cs="David"/>
          <w:color w:val="000000"/>
          <w:sz w:val="24"/>
          <w:szCs w:val="24"/>
          <w:rtl/>
        </w:rPr>
        <w:t>ההחלטה מותרת לפרסום בהשמטת פרטים מזהים.</w:t>
      </w:r>
    </w:p>
    <w:p w:rsidR="005F1EC7" w:rsidRDefault="005F1EC7" w:rsidP="005F1EC7">
      <w:pPr>
        <w:pStyle w:val="a9"/>
        <w:rPr>
          <w:rFonts w:ascii="Times New Roman" w:eastAsia="Times New Roman" w:hAnsi="Times New Roman" w:cs="Times New Roman"/>
          <w:color w:val="000000"/>
          <w:sz w:val="24"/>
          <w:szCs w:val="24"/>
        </w:rPr>
      </w:pPr>
    </w:p>
    <w:p w:rsidR="005F1EC7" w:rsidRDefault="005F1EC7" w:rsidP="005F1EC7">
      <w:pPr>
        <w:pStyle w:val="a9"/>
        <w:numPr>
          <w:ilvl w:val="0"/>
          <w:numId w:val="1"/>
        </w:numPr>
        <w:spacing w:after="240" w:line="360" w:lineRule="auto"/>
        <w:ind w:left="368"/>
        <w:jc w:val="both"/>
        <w:rPr>
          <w:rFonts w:ascii="David" w:eastAsia="Times New Roman" w:hAnsi="David" w:cs="David"/>
          <w:color w:val="000000"/>
          <w:sz w:val="24"/>
          <w:szCs w:val="24"/>
          <w:rtl/>
        </w:rPr>
      </w:pPr>
      <w:r>
        <w:rPr>
          <w:rFonts w:ascii="Times New Roman" w:eastAsia="Times New Roman" w:hAnsi="Times New Roman" w:cs="Times New Roman"/>
          <w:color w:val="000000"/>
          <w:sz w:val="24"/>
          <w:szCs w:val="24"/>
          <w:rtl/>
        </w:rPr>
        <w:t> </w:t>
      </w:r>
      <w:r>
        <w:rPr>
          <w:rFonts w:ascii="David" w:eastAsia="Times New Roman" w:hAnsi="David" w:cs="David"/>
          <w:color w:val="000000"/>
          <w:sz w:val="24"/>
          <w:szCs w:val="24"/>
          <w:rtl/>
        </w:rPr>
        <w:t>תואיל המזכירות להמציא החלטתי לצדדים.</w:t>
      </w:r>
    </w:p>
    <w:p w:rsidR="005F1EC7" w:rsidRDefault="005F1EC7" w:rsidP="005F1EC7">
      <w:pPr>
        <w:spacing w:line="360" w:lineRule="auto"/>
        <w:jc w:val="both"/>
        <w:rPr>
          <w:rFonts w:ascii="Arial" w:hAnsi="Arial"/>
          <w:noProof w:val="0"/>
          <w:rtl/>
        </w:rPr>
      </w:pPr>
    </w:p>
    <w:p w:rsidR="005F1EC7" w:rsidRDefault="005F1EC7" w:rsidP="005F1EC7">
      <w:pPr>
        <w:spacing w:line="360" w:lineRule="auto"/>
        <w:jc w:val="both"/>
        <w:rPr>
          <w:rFonts w:ascii="Arial" w:hAnsi="Arial"/>
          <w:noProof w:val="0"/>
          <w:rtl/>
        </w:rPr>
      </w:pPr>
    </w:p>
    <w:p w:rsidR="005F1EC7" w:rsidRDefault="005F1EC7" w:rsidP="005F1EC7">
      <w:pPr>
        <w:spacing w:line="360" w:lineRule="auto"/>
        <w:jc w:val="both"/>
        <w:rPr>
          <w:rFonts w:ascii="Arial" w:hAnsi="Arial"/>
          <w:noProof w:val="0"/>
          <w:rtl/>
        </w:rPr>
      </w:pPr>
    </w:p>
    <w:p w:rsidR="005F1EC7" w:rsidRDefault="005F1EC7" w:rsidP="005F1EC7">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כ"ד סיוון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30 יוני 2024</w:t>
          </w:r>
        </w:sdtContent>
      </w:sdt>
      <w:r>
        <w:rPr>
          <w:rFonts w:ascii="Arial" w:hAnsi="Arial"/>
          <w:noProof w:val="0"/>
          <w:rtl/>
        </w:rPr>
        <w:t>, בהעדר הצדדים.</w:t>
      </w:r>
    </w:p>
    <w:p w:rsidR="005F1EC7" w:rsidRDefault="005F1EC7" w:rsidP="005F1EC7">
      <w:pPr>
        <w:spacing w:line="360" w:lineRule="auto"/>
        <w:jc w:val="both"/>
        <w:rPr>
          <w:rFonts w:ascii="Arial" w:hAnsi="Arial"/>
          <w:noProof w:val="0"/>
          <w:rtl/>
        </w:rPr>
      </w:pPr>
    </w:p>
    <w:p w:rsidR="005F1EC7" w:rsidRDefault="00726667" w:rsidP="005F1EC7">
      <w:pPr>
        <w:spacing w:line="360" w:lineRule="auto"/>
        <w:ind w:left="3600" w:firstLine="720"/>
        <w:jc w:val="both"/>
      </w:pPr>
      <w:sdt>
        <w:sdtPr>
          <w:rPr>
            <w:rtl/>
          </w:rPr>
          <w:alias w:val="MergeField"/>
          <w:tag w:val="1237"/>
          <w:id w:val="1669906204"/>
        </w:sdtPr>
        <w:sdtEndPr/>
        <w:sdtContent>
          <w:r w:rsidR="005F1EC7">
            <w:drawing>
              <wp:inline distT="0" distB="0" distL="0" distR="0" wp14:anchorId="3A93BAC2" wp14:editId="50707267">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200150" cy="920750"/>
                        </a:xfrm>
                        <a:prstGeom prst="rect">
                          <a:avLst/>
                        </a:prstGeom>
                      </pic:spPr>
                    </pic:pic>
                  </a:graphicData>
                </a:graphic>
              </wp:inline>
            </w:drawing>
          </w:r>
        </w:sdtContent>
      </w:sdt>
    </w:p>
    <w:p w:rsidR="005F1EC7" w:rsidRDefault="005F1EC7" w:rsidP="005F1EC7">
      <w:pPr>
        <w:spacing w:line="360" w:lineRule="auto"/>
        <w:ind w:left="3600" w:firstLine="720"/>
        <w:jc w:val="both"/>
        <w:rPr>
          <w:rFonts w:ascii="Arial" w:hAnsi="Arial"/>
          <w:noProof w:val="0"/>
          <w:rtl/>
        </w:rPr>
      </w:pPr>
    </w:p>
    <w:p w:rsidR="005F1EC7" w:rsidRDefault="005F1EC7" w:rsidP="005F1EC7">
      <w:pPr>
        <w:spacing w:line="360" w:lineRule="auto"/>
        <w:jc w:val="both"/>
        <w:rPr>
          <w:rFonts w:ascii="Arial" w:hAnsi="Arial"/>
          <w:noProof w:val="0"/>
          <w:rtl/>
        </w:rPr>
      </w:pPr>
    </w:p>
    <w:p w:rsidR="00063DAC" w:rsidRDefault="00063DAC"/>
    <w:sectPr w:rsidR="00063DAC" w:rsidSect="002914D6">
      <w:headerReference w:type="default" r:id="rId8"/>
      <w:footerReference w:type="default" r:id="rId9"/>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667" w:rsidRDefault="00726667" w:rsidP="005F1EC7">
      <w:r>
        <w:separator/>
      </w:r>
    </w:p>
  </w:endnote>
  <w:endnote w:type="continuationSeparator" w:id="0">
    <w:p w:rsidR="00726667" w:rsidRDefault="00726667" w:rsidP="005F1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5F1EC7">
    <w:pPr>
      <w:pStyle w:val="a5"/>
      <w:jc w:val="center"/>
      <w:rPr>
        <w:rStyle w:val="a8"/>
      </w:rPr>
    </w:pPr>
    <w:r>
      <w:rPr>
        <w:rStyle w:val="a8"/>
      </w:rPr>
      <w:fldChar w:fldCharType="begin"/>
    </w:r>
    <w:r>
      <w:rPr>
        <w:rStyle w:val="a8"/>
      </w:rPr>
      <w:instrText xml:space="preserve"> PAGE </w:instrText>
    </w:r>
    <w:r>
      <w:rPr>
        <w:rStyle w:val="a8"/>
      </w:rPr>
      <w:fldChar w:fldCharType="separate"/>
    </w:r>
    <w:r w:rsidR="005045B6">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5045B6">
      <w:rPr>
        <w:rStyle w:val="a8"/>
        <w:rtl/>
      </w:rPr>
      <w:t>1</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667" w:rsidRDefault="00726667" w:rsidP="005F1EC7">
      <w:r>
        <w:separator/>
      </w:r>
    </w:p>
  </w:footnote>
  <w:footnote w:type="continuationSeparator" w:id="0">
    <w:p w:rsidR="00726667" w:rsidRDefault="00726667" w:rsidP="005F1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5F1EC7">
    <w:pPr>
      <w:pStyle w:val="a3"/>
      <w:jc w:val="center"/>
      <w:rPr>
        <w:rFonts w:cs="FrankRuehl"/>
        <w:noProof w:val="0"/>
        <w:sz w:val="28"/>
        <w:szCs w:val="28"/>
        <w:rtl/>
      </w:rPr>
    </w:pPr>
    <w:r>
      <w:rPr>
        <w:rFonts w:cs="FrankRuehl"/>
        <w:sz w:val="28"/>
        <w:szCs w:val="28"/>
      </w:rPr>
      <w:drawing>
        <wp:inline distT="0" distB="0" distL="0" distR="0" wp14:anchorId="1AA5C226" wp14:editId="6415F4DC">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5F1EC7">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726667">
          <w:pPr>
            <w:rPr>
              <w:b/>
              <w:bCs/>
              <w:noProof w:val="0"/>
              <w:sz w:val="26"/>
              <w:szCs w:val="26"/>
              <w:rtl/>
            </w:rPr>
          </w:pPr>
        </w:p>
      </w:tc>
      <w:tc>
        <w:tcPr>
          <w:tcW w:w="3674" w:type="dxa"/>
        </w:tcPr>
        <w:p w:rsidR="002914D6" w:rsidRDefault="00726667">
          <w:pPr>
            <w:pStyle w:val="a3"/>
            <w:jc w:val="right"/>
            <w:rPr>
              <w:b/>
              <w:bCs/>
              <w:noProof w:val="0"/>
              <w:sz w:val="26"/>
              <w:szCs w:val="26"/>
              <w:rtl/>
            </w:rPr>
          </w:pPr>
        </w:p>
      </w:tc>
    </w:tr>
    <w:tr w:rsidR="002914D6">
      <w:trPr>
        <w:trHeight w:val="337"/>
        <w:jc w:val="center"/>
      </w:trPr>
      <w:tc>
        <w:tcPr>
          <w:tcW w:w="8721" w:type="dxa"/>
          <w:gridSpan w:val="2"/>
        </w:tcPr>
        <w:p w:rsidR="002914D6" w:rsidRDefault="00726667" w:rsidP="005F1EC7">
          <w:pPr>
            <w:rPr>
              <w:b/>
              <w:bCs/>
              <w:noProof w:val="0"/>
              <w:sz w:val="26"/>
              <w:szCs w:val="26"/>
              <w:rtl/>
            </w:rPr>
          </w:pPr>
          <w:sdt>
            <w:sdtPr>
              <w:rPr>
                <w:rtl/>
              </w:rPr>
              <w:alias w:val="1170"/>
              <w:tag w:val="1170"/>
              <w:id w:val="922609164"/>
              <w:text w:multiLine="1"/>
            </w:sdtPr>
            <w:sdtEndPr/>
            <w:sdtContent>
              <w:r w:rsidR="005F1EC7">
                <w:rPr>
                  <w:b/>
                  <w:bCs/>
                  <w:noProof w:val="0"/>
                  <w:sz w:val="26"/>
                  <w:szCs w:val="26"/>
                  <w:rtl/>
                </w:rPr>
                <w:t>תלה"מ</w:t>
              </w:r>
            </w:sdtContent>
          </w:sdt>
          <w:r w:rsidR="005F1EC7">
            <w:rPr>
              <w:b/>
              <w:bCs/>
              <w:noProof w:val="0"/>
              <w:sz w:val="26"/>
              <w:szCs w:val="26"/>
              <w:rtl/>
            </w:rPr>
            <w:t xml:space="preserve"> </w:t>
          </w:r>
          <w:sdt>
            <w:sdtPr>
              <w:rPr>
                <w:rtl/>
              </w:rPr>
              <w:alias w:val="1171"/>
              <w:tag w:val="1171"/>
              <w:id w:val="-1035651213"/>
              <w:text w:multiLine="1"/>
            </w:sdtPr>
            <w:sdtEndPr/>
            <w:sdtContent>
              <w:r w:rsidR="005F1EC7">
                <w:rPr>
                  <w:b/>
                  <w:bCs/>
                  <w:noProof w:val="0"/>
                  <w:sz w:val="26"/>
                  <w:szCs w:val="26"/>
                  <w:rtl/>
                </w:rPr>
                <w:t>23994-02-22</w:t>
              </w:r>
            </w:sdtContent>
          </w:sdt>
          <w:r w:rsidR="005F1EC7">
            <w:rPr>
              <w:b/>
              <w:bCs/>
              <w:noProof w:val="0"/>
              <w:sz w:val="26"/>
              <w:szCs w:val="26"/>
              <w:rtl/>
            </w:rPr>
            <w:t xml:space="preserve"> </w:t>
          </w:r>
          <w:sdt>
            <w:sdtPr>
              <w:rPr>
                <w:rtl/>
              </w:rPr>
              <w:alias w:val="1172"/>
              <w:tag w:val="1172"/>
              <w:id w:val="-1735694493"/>
              <w:text w:multiLine="1"/>
            </w:sdtPr>
            <w:sdtEndPr/>
            <w:sdtContent>
              <w:r w:rsidR="005F1EC7">
                <w:rPr>
                  <w:b/>
                  <w:bCs/>
                  <w:noProof w:val="0"/>
                  <w:sz w:val="26"/>
                  <w:szCs w:val="26"/>
                  <w:rtl/>
                </w:rPr>
                <w:t>א</w:t>
              </w:r>
              <w:r w:rsidR="005F1EC7">
                <w:rPr>
                  <w:rFonts w:hint="cs"/>
                  <w:b/>
                  <w:bCs/>
                  <w:noProof w:val="0"/>
                  <w:sz w:val="26"/>
                  <w:szCs w:val="26"/>
                  <w:rtl/>
                </w:rPr>
                <w:t>.</w:t>
              </w:r>
              <w:r w:rsidR="005F1EC7">
                <w:rPr>
                  <w:b/>
                  <w:bCs/>
                  <w:noProof w:val="0"/>
                  <w:sz w:val="26"/>
                  <w:szCs w:val="26"/>
                  <w:rtl/>
                </w:rPr>
                <w:t xml:space="preserve"> נ' א</w:t>
              </w:r>
              <w:r w:rsidR="005F1EC7">
                <w:rPr>
                  <w:rFonts w:hint="cs"/>
                  <w:b/>
                  <w:bCs/>
                  <w:noProof w:val="0"/>
                  <w:sz w:val="26"/>
                  <w:szCs w:val="26"/>
                  <w:rtl/>
                </w:rPr>
                <w:t xml:space="preserve">. </w:t>
              </w:r>
              <w:r w:rsidR="005F1EC7">
                <w:rPr>
                  <w:b/>
                  <w:bCs/>
                  <w:noProof w:val="0"/>
                  <w:sz w:val="26"/>
                  <w:szCs w:val="26"/>
                  <w:rtl/>
                </w:rPr>
                <w:t>ואח'</w:t>
              </w:r>
            </w:sdtContent>
          </w:sdt>
        </w:p>
        <w:p w:rsidR="002914D6" w:rsidRDefault="00726667">
          <w:pPr>
            <w:rPr>
              <w:rtl/>
            </w:rPr>
          </w:pPr>
        </w:p>
      </w:tc>
    </w:tr>
  </w:tbl>
  <w:p w:rsidR="002914D6" w:rsidRDefault="005F1EC7">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311705"/>
    <w:multiLevelType w:val="hybridMultilevel"/>
    <w:tmpl w:val="6DCE0F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EC7"/>
    <w:rsid w:val="00063DAC"/>
    <w:rsid w:val="00094DB3"/>
    <w:rsid w:val="000A6D18"/>
    <w:rsid w:val="005045B6"/>
    <w:rsid w:val="005F1EC7"/>
    <w:rsid w:val="00726667"/>
    <w:rsid w:val="0078469F"/>
    <w:rsid w:val="00CA38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52FF23-2E5A-4299-B919-878C4048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1EC7"/>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F1EC7"/>
    <w:pPr>
      <w:tabs>
        <w:tab w:val="center" w:pos="4153"/>
        <w:tab w:val="right" w:pos="8306"/>
      </w:tabs>
    </w:pPr>
  </w:style>
  <w:style w:type="character" w:customStyle="1" w:styleId="a4">
    <w:name w:val="כותרת עליונה תו"/>
    <w:basedOn w:val="a0"/>
    <w:link w:val="a3"/>
    <w:rsid w:val="005F1EC7"/>
    <w:rPr>
      <w:rFonts w:ascii="Times New Roman" w:eastAsia="Times New Roman" w:hAnsi="Times New Roman" w:cs="David"/>
      <w:noProof/>
      <w:sz w:val="24"/>
      <w:szCs w:val="24"/>
    </w:rPr>
  </w:style>
  <w:style w:type="paragraph" w:styleId="a5">
    <w:name w:val="footer"/>
    <w:basedOn w:val="a"/>
    <w:link w:val="a6"/>
    <w:rsid w:val="005F1EC7"/>
    <w:pPr>
      <w:tabs>
        <w:tab w:val="center" w:pos="4153"/>
        <w:tab w:val="right" w:pos="8306"/>
      </w:tabs>
    </w:pPr>
  </w:style>
  <w:style w:type="character" w:customStyle="1" w:styleId="a6">
    <w:name w:val="כותרת תחתונה תו"/>
    <w:basedOn w:val="a0"/>
    <w:link w:val="a5"/>
    <w:rsid w:val="005F1EC7"/>
    <w:rPr>
      <w:rFonts w:ascii="Times New Roman" w:eastAsia="Times New Roman" w:hAnsi="Times New Roman" w:cs="David"/>
      <w:noProof/>
      <w:sz w:val="24"/>
      <w:szCs w:val="24"/>
    </w:rPr>
  </w:style>
  <w:style w:type="table" w:styleId="a7">
    <w:name w:val="Table Grid"/>
    <w:basedOn w:val="a1"/>
    <w:rsid w:val="005F1EC7"/>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5F1EC7"/>
  </w:style>
  <w:style w:type="paragraph" w:styleId="a9">
    <w:name w:val="List Paragraph"/>
    <w:basedOn w:val="a"/>
    <w:uiPriority w:val="34"/>
    <w:qFormat/>
    <w:rsid w:val="005F1EC7"/>
    <w:pPr>
      <w:spacing w:after="160" w:line="256" w:lineRule="auto"/>
      <w:ind w:left="720"/>
      <w:contextualSpacing/>
    </w:pPr>
    <w:rPr>
      <w:rFonts w:asciiTheme="minorHAnsi" w:eastAsiaTheme="minorHAnsi" w:hAnsiTheme="minorHAnsi" w:cstheme="minorBidi"/>
      <w:noProof w:val="0"/>
      <w:sz w:val="22"/>
      <w:szCs w:val="22"/>
    </w:rPr>
  </w:style>
  <w:style w:type="character" w:styleId="aa">
    <w:name w:val="line number"/>
    <w:basedOn w:val="a0"/>
    <w:uiPriority w:val="99"/>
    <w:semiHidden/>
    <w:unhideWhenUsed/>
    <w:rsid w:val="005F1E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650</Words>
  <Characters>3253</Characters>
  <Application>Microsoft Office Word</Application>
  <DocSecurity>0</DocSecurity>
  <Lines>27</Lines>
  <Paragraphs>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גרמאו מנגיסטו</cp:lastModifiedBy>
  <cp:revision>2</cp:revision>
  <dcterms:created xsi:type="dcterms:W3CDTF">2024-09-03T05:22:00Z</dcterms:created>
  <dcterms:modified xsi:type="dcterms:W3CDTF">2024-09-03T05:22:00Z</dcterms:modified>
</cp:coreProperties>
</file>